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r>
        <w:rPr>
          <w:rFonts w:ascii="Arial" w:cs="Arial" w:eastAsia="Arial" w:hAnsi="Arial"/>
          <w:color w:val="666666"/>
          <w:sz w:val="22"/>
          <w:szCs w:val="22"/>
        </w:rPr>
        <w:t xml:space="preserve">LeasNet GmbH · miet.net</w:t>
      </w:r>
    </w:p>
    <w:p>
      <w:pPr>
        <w:spacing w:after="400"/>
      </w:pPr>
      <w:r>
        <w:rPr>
          <w:rFonts w:ascii="Arial" w:cs="Arial" w:eastAsia="Arial" w:hAnsi="Arial"/>
          <w:b/>
          <w:bCs/>
          <w:color w:val="1A3E75"/>
          <w:sz w:val="22"/>
          <w:szCs w:val="22"/>
        </w:rPr>
        <w:t xml:space="preserve">Iteration 5 · Business-Paket</w:t>
      </w:r>
    </w:p>
    <w:p>
      <w:pPr>
        <w:pStyle w:val="Title"/>
      </w:pPr>
      <w:r>
        <w:t xml:space="preserve">Business-Paket</w:t>
      </w:r>
    </w:p>
    <w:p>
      <w:pPr>
        <w:pStyle w:val="Subtitle"/>
      </w:pPr>
      <w:r>
        <w:t xml:space="preserve">8 Dokumente für Business-Kunden und Rahmenverträge</w:t>
      </w:r>
    </w:p>
    <w:p>
      <w:pPr>
        <w:spacing w:before="1200"/>
      </w:pPr>
      <w:r>
        <w:t xml:space="preserve"/>
      </w:r>
    </w:p>
    <w:p>
      <w:r>
        <w:rPr>
          <w:b/>
          <w:bCs/>
        </w:rPr>
        <w:t xml:space="preserve">Version 1.0 · Sprache: Deutsch (kanonisch)</w:t>
      </w:r>
    </w:p>
    <w:p>
      <w:r>
        <w:t xml:space="preserve">Status: Entwurf für anwaltliche Prüfung · Erstellt am: 2026-07-17</w:t>
      </w:r>
    </w:p>
    <w:p>
      <w:r>
        <w:t xml:space="preserve">Owner: Legal Governance Board der LeasNet GmbH</w:t>
      </w:r>
    </w:p>
    <w:p>
      <w:r>
        <w:rPr>
          <w:i/>
          <w:iCs/>
          <w:color w:val="666666"/>
        </w:rPr>
        <w:t xml:space="preserve">Alle nachfolgenden Dokumente verweisen auf den Legal Blueprint (BP) und den Definitions-Katalog (Kategorien PL, RO, PR, BK, RM, PY, DP, DM, WH, ID, BZ, VN, DA, CO, RK, SU, CN, DO). Vor Livegang anwaltliche Freigabe erforderlich.</w:t>
      </w:r>
    </w:p>
    <w:p>
      <w:r>
        <w:br w:type="page"/>
      </w:r>
    </w:p>
    <w:p>
      <w:pPr>
        <w:pStyle w:val="Heading1"/>
      </w:pPr>
      <w:r>
        <w:t xml:space="preserve">Über dieses Paket</w:t>
      </w:r>
    </w:p>
    <w:p>
      <w:r>
        <w:t xml:space="preserve">Dieses Paket bündelt B2B-Nutzungsbedingungen, Rahmenverträge, Governance-, API-, SSO-, SLA- und DPA-Dokumente für Business-Kunden. Es ergänzt die Consumer- und Vendor-Pakete und ermöglicht institutionelle Nutzung mit Freigabeprozessen, Budget- und PO-Regeln.</w:t>
      </w:r>
    </w:p>
    <w:p>
      <w:pPr>
        <w:pStyle w:val="Heading1"/>
      </w:pPr>
      <w:r>
        <w:t xml:space="preserve">Enthaltene Dokumente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960"/>
        <w:gridCol w:w="200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ID</w:t>
            </w:r>
          </w:p>
        </w:tc>
        <w:tc>
          <w:tcPr>
            <w:tcW w:type="dxa" w:w="59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Dokument</w:t>
            </w:r>
          </w:p>
        </w:tc>
        <w:tc>
          <w:tcPr>
            <w:tcW w:type="dxa" w:w="2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Adressat</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BIZ-TRM</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B2B-Nutzungsbedingungen (Business)</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Unternehmer (§ 14 BGB), juristische Personen</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BIZ-FRA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 Framework Agreement (Rahmenvertrag)</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mit Rahmenvertrag</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BIZ-SRA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Einzelmietvertrag (Business)</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 Automatisch generiert je Buchung</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Freigabe-, Budget- und PO-Regelwerk</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mit Governance-Anforderungen</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BIZ-API</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API-Nutzungsbedingungen</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 und Vendor-Integrationen</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BIZ-SSO</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SSO-Bedingungen (SAML/OIDC)</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mit Identity-Provider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BIZ-SLA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Service-Level-Agreement (Business)</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mit vertraglichem SLA</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BIZ-DPA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Auftragsverarbeitungs-Vereinbarung (DPA)</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Business-Kunden, für die Lovable/LeasNet Daten verarbeitet</w:t>
            </w:r>
          </w:p>
        </w:tc>
      </w:tr>
    </w:tbl>
    <w:p>
      <w:r>
        <w:br w:type="page"/>
      </w:r>
    </w:p>
    <w:p>
      <w:pPr>
        <w:pStyle w:val="DocTitle"/>
      </w:pPr>
      <w:r>
        <w:t xml:space="preserve">BIZ-TRM · B2B-Nutzungsbedingungen (Business)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BIZ-TRM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BIZ-TRM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BP-03, BP-07, BP-19</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Nutzung von miet.net durch Business-Kunden (BZ-001). Sie ersetzen die Verbraucher-AGB (CON-AGB) für Business-Konstellationen und enthalten typische B2B-Anpassungen (Kaufmannseigenschaft, kein Widerrufsrecht, längere Gerichtsstands- und Haftungsregelungen).</w:t>
      </w:r>
    </w:p>
    <w:p>
      <w:pPr>
        <w:pStyle w:val="Heading1"/>
      </w:pPr>
      <w:r>
        <w:t xml:space="preserve">BIZ-TRM-01 · Vertragsschluss und Handeln unter Firma</w:t>
      </w:r>
    </w:p>
    <w:p>
      <w:pPr>
        <w:pStyle w:val="Heading2"/>
      </w:pPr>
      <w:r>
        <w:t xml:space="preserve">BIZ-TRM-01-01 · Vollmacht</w:t>
      </w:r>
    </w:p>
    <w:p>
      <w:r>
        <w:t xml:space="preserve">Der handelnde Mitarbeiter versichert, für die Business-Organisation (BZ-001) vertretungsberechtigt oder ordnungsgemäß bevollmächtigt zu sein.</w:t>
      </w:r>
    </w:p>
    <w:p>
      <w:r>
        <w:t xml:space="preserve">Änderungen der Vertretungsverhältnisse sind unverzüglich anzuzeigen.</w:t>
      </w:r>
    </w:p>
    <w:p>
      <w:pPr>
        <w:pStyle w:val="Heading1"/>
      </w:pPr>
      <w:r>
        <w:t xml:space="preserve">BIZ-TRM-02 · Kein Widerrufsrecht</w:t>
      </w:r>
    </w:p>
    <w:p>
      <w:pPr>
        <w:pStyle w:val="Heading2"/>
      </w:pPr>
      <w:r>
        <w:t xml:space="preserve">BIZ-TRM-02-01 · Ausschluss</w:t>
      </w:r>
    </w:p>
    <w:p>
      <w:r>
        <w:t xml:space="preserve">Ein Widerrufsrecht besteht nicht, da der Vertrag nicht zwischen Unternehmer und Verbraucher geschlossen wird.</w:t>
      </w:r>
    </w:p>
    <w:p>
      <w:pPr>
        <w:pStyle w:val="Heading1"/>
      </w:pPr>
      <w:r>
        <w:t xml:space="preserve">BIZ-TRM-03 · Preise und Zahlung</w:t>
      </w:r>
    </w:p>
    <w:p>
      <w:pPr>
        <w:pStyle w:val="Heading2"/>
      </w:pPr>
      <w:r>
        <w:t xml:space="preserve">BIZ-TRM-03-01 · Netto-Preise</w:t>
      </w:r>
    </w:p>
    <w:p>
      <w:r>
        <w:t xml:space="preserve">Preise werden gegenüber Business-Kunden als Nettopreise zzgl. gesetzlicher Umsatzsteuer ausgewiesen.</w:t>
      </w:r>
    </w:p>
    <w:p>
      <w:pPr>
        <w:pStyle w:val="Heading2"/>
      </w:pPr>
      <w:r>
        <w:t xml:space="preserve">BIZ-TRM-03-02 · Zahlungsziel</w:t>
      </w:r>
    </w:p>
    <w:p>
      <w:r>
        <w:t xml:space="preserve">Rechnungen sind — soweit nicht abweichend vereinbart — innerhalb von 14 Kalendertagen ab Rechnungsdatum ohne Abzug fällig.</w:t>
      </w:r>
    </w:p>
    <w:p>
      <w:pPr>
        <w:pStyle w:val="Heading1"/>
      </w:pPr>
      <w:r>
        <w:t xml:space="preserve">BIZ-TRM-04 · Haftung</w:t>
      </w:r>
    </w:p>
    <w:p>
      <w:pPr>
        <w:pStyle w:val="Heading2"/>
      </w:pPr>
      <w:r>
        <w:t xml:space="preserve">BIZ-TRM-04-01 · Beschränkung</w:t>
      </w:r>
    </w:p>
    <w:p>
      <w:r>
        <w:t xml:space="preserve">Bei einfacher Fahrlässigkeit haftet die LeasNet GmbH bzw. der Vendor nur bei Verletzung wesentlicher Vertragspflichten und beschränkt auf den vertragstypischen, vorhersehbaren Schaden. Die Haftung für entgangenen Gewinn und mittelbare Schäden ist bei einfacher Fahrlässigkeit ausgeschlossen.</w:t>
      </w:r>
    </w:p>
    <w:p>
      <w:pPr>
        <w:pStyle w:val="Heading1"/>
      </w:pPr>
      <w:r>
        <w:t xml:space="preserve">BIZ-TRM-05 · Schlussbestimmungen</w:t>
      </w:r>
    </w:p>
    <w:p>
      <w:pPr>
        <w:pStyle w:val="Heading2"/>
      </w:pPr>
      <w:r>
        <w:t xml:space="preserve">BIZ-TRM-05-01 · Recht und Gerichtsstand</w:t>
      </w:r>
    </w:p>
    <w:p>
      <w:r>
        <w:t xml:space="preserve">Deutsches Recht unter Ausschluss des UN-Kaufrechts. Ausschließlicher Gerichtsstand ist der Sitz der LeasNet GmbH.</w:t>
      </w:r>
    </w:p>
    <w:p>
      <w:r>
        <w:br w:type="page"/>
      </w:r>
    </w:p>
    <w:p>
      <w:pPr>
        <w:pStyle w:val="DocTitle"/>
      </w:pPr>
      <w:r>
        <w:t xml:space="preserve">BIZ-FRA · Business Framework Agreement (Rahmenvertrag)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BIZ-FRA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BIZ-FRA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Dieser Rahmenvertrag regelt wiederkehrende Miet- und Servicebeziehungen zwischen der LeasNet GmbH (bzw. dem jeweiligen Vendor) und einer Business-Organisation.</w:t>
      </w:r>
    </w:p>
    <w:p>
      <w:pPr>
        <w:pStyle w:val="Heading1"/>
      </w:pPr>
      <w:r>
        <w:t xml:space="preserve">BIZ-FRA-01 · Rahmen und Einzelmieten</w:t>
      </w:r>
    </w:p>
    <w:p>
      <w:pPr>
        <w:pStyle w:val="Heading2"/>
      </w:pPr>
      <w:r>
        <w:t xml:space="preserve">BIZ-FRA-01-01 · Struktur</w:t>
      </w:r>
    </w:p>
    <w:p>
      <w:r>
        <w:t xml:space="preserve">Der Rahmenvertrag bildet die Klammer für Einzelmieten (BZ-006), die über das Business-Portal (PL-005) beauftragt werden. Einzelmieten unterliegen den ausdrücklich benannten Bedingungen dieses Rahmens und den B2B-Nutzungsbedingungen (BIZ-TRM).</w:t>
      </w:r>
    </w:p>
    <w:p>
      <w:pPr>
        <w:pStyle w:val="Heading1"/>
      </w:pPr>
      <w:r>
        <w:t xml:space="preserve">BIZ-FRA-02 · Preise und Konditionen</w:t>
      </w:r>
    </w:p>
    <w:p>
      <w:pPr>
        <w:pStyle w:val="Heading2"/>
      </w:pPr>
      <w:r>
        <w:t xml:space="preserve">BIZ-FRA-02-01 · Individualpreise</w:t>
      </w:r>
    </w:p>
    <w:p>
      <w:r>
        <w:t xml:space="preserve">Preisstaffeln, Rabatte und Zahlungsziele werden in der Anlage Preisliste festgelegt.</w:t>
      </w:r>
    </w:p>
    <w:p>
      <w:pPr>
        <w:pStyle w:val="Heading1"/>
      </w:pPr>
      <w:r>
        <w:t xml:space="preserve">BIZ-FRA-03 · Laufzeit und Kündigung</w:t>
      </w:r>
    </w:p>
    <w:p>
      <w:pPr>
        <w:pStyle w:val="Heading2"/>
      </w:pPr>
      <w:r>
        <w:t xml:space="preserve">BIZ-FRA-03-01 · Laufzeit</w:t>
      </w:r>
    </w:p>
    <w:p>
      <w:r>
        <w:t xml:space="preserve">Der Rahmenvertrag wird auf unbestimmte Zeit geschlossen und kann mit einer Frist von drei Monaten zum Monatsende gekündigt werden.</w:t>
      </w:r>
    </w:p>
    <w:p>
      <w:r>
        <w:br w:type="page"/>
      </w:r>
    </w:p>
    <w:p>
      <w:pPr>
        <w:pStyle w:val="DocTitle"/>
      </w:pPr>
      <w:r>
        <w:t xml:space="preserve">BIZ-SRA · Einzelmietvertrag (Business)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BP-08</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Der Einzelmietvertrag wird bei jedem Mietvorgang automatisch generiert und referenziert den Rahmenvertrag, sofern vorhanden.</w:t>
      </w:r>
    </w:p>
    <w:p>
      <w:pPr>
        <w:pStyle w:val="Heading1"/>
      </w:pPr>
      <w:r>
        <w:t xml:space="preserve">BIZ-SRA-01 · Vertragsdaten</w:t>
      </w:r>
    </w:p>
    <w:p>
      <w:pPr>
        <w:pStyle w:val="Heading2"/>
      </w:pPr>
      <w:r>
        <w:t xml:space="preserve">BIZ-SRA-01-01 · Felder</w:t>
      </w:r>
    </w:p>
    <w:p>
      <w:r>
        <w:t xml:space="preserve">Vermieter, Business-Organisation, Handelnder, Asset, Zeitraum, Preis, Kaution, PO-Nummer (BZ-011), Kostenstelle (BZ-010), Zubehör, Übergabe- und Rückgabemodalitäten.</w:t>
      </w:r>
    </w:p>
    <w:p>
      <w:r>
        <w:br w:type="page"/>
      </w:r>
    </w:p>
    <w:p>
      <w:pPr>
        <w:pStyle w:val="DocTitle"/>
      </w:pPr>
      <w:r>
        <w:t xml:space="preserve">BIZ-APP · Freigabe-, Budget- und PO-Regelwerk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Dieses Regelwerk beschreibt die kundenseitig konfigurierbaren Freigabe-, Budget- und PO-Regeln im Business-Portal.</w:t>
      </w:r>
    </w:p>
    <w:p>
      <w:pPr>
        <w:pStyle w:val="Heading1"/>
      </w:pPr>
      <w:r>
        <w:t xml:space="preserve">BIZ-APP-01 · Freigabeworkflows</w:t>
      </w:r>
    </w:p>
    <w:p>
      <w:pPr>
        <w:pStyle w:val="Heading2"/>
      </w:pPr>
      <w:r>
        <w:t xml:space="preserve">BIZ-APP-01-01 · Rollen</w:t>
      </w:r>
    </w:p>
    <w:p>
      <w:r>
        <w:t xml:space="preserve">Standard-Rollen (BZ-003): Owner, Admin, Approver, Buyer, Requester, Finance, Read-only.</w:t>
      </w:r>
    </w:p>
    <w:p>
      <w:r>
        <w:t xml:space="preserve">Freigabeschwellen (BZ-009) werden nach Betrag, Kategorie oder Kostenstelle definiert.</w:t>
      </w:r>
    </w:p>
    <w:p>
      <w:pPr>
        <w:pStyle w:val="Heading1"/>
      </w:pPr>
      <w:r>
        <w:t xml:space="preserve">BIZ-APP-02 · Budgets</w:t>
      </w:r>
    </w:p>
    <w:p>
      <w:pPr>
        <w:pStyle w:val="Heading2"/>
      </w:pPr>
      <w:r>
        <w:t xml:space="preserve">BIZ-APP-02-01 · Regeln</w:t>
      </w:r>
    </w:p>
    <w:p>
      <w:r>
        <w:t xml:space="preserve">Budgets werden pro Kostenstelle (BZ-010) oder Team definiert; Überschreitungen erfordern eine zusätzliche Freigabe.</w:t>
      </w:r>
    </w:p>
    <w:p>
      <w:pPr>
        <w:pStyle w:val="Heading1"/>
      </w:pPr>
      <w:r>
        <w:t xml:space="preserve">BIZ-APP-03 · Purchase Orders</w:t>
      </w:r>
    </w:p>
    <w:p>
      <w:pPr>
        <w:pStyle w:val="Heading2"/>
      </w:pPr>
      <w:r>
        <w:t xml:space="preserve">BIZ-APP-03-01 · PO-Pflicht</w:t>
      </w:r>
    </w:p>
    <w:p>
      <w:r>
        <w:t xml:space="preserve">Business-Kunden können festlegen, dass Bestellungen nur mit gültiger PO-Nummer (BZ-011) ausgeführt werden.</w:t>
      </w:r>
    </w:p>
    <w:p>
      <w:r>
        <w:br w:type="page"/>
      </w:r>
    </w:p>
    <w:p>
      <w:pPr>
        <w:pStyle w:val="DocTitle"/>
      </w:pPr>
      <w:r>
        <w:t xml:space="preserve">BIZ-API · API-Nutzungsbedingungen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BIZ-API</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BIZ-API</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den Zugriff auf und die Nutzung der Plattform-APIs.</w:t>
      </w:r>
    </w:p>
    <w:p>
      <w:pPr>
        <w:pStyle w:val="Heading1"/>
      </w:pPr>
      <w:r>
        <w:t xml:space="preserve">BIZ-API-01 · Zugang</w:t>
      </w:r>
    </w:p>
    <w:p>
      <w:pPr>
        <w:pStyle w:val="Heading2"/>
      </w:pPr>
      <w:r>
        <w:t xml:space="preserve">BIZ-API-01-01 · API-Schlüssel</w:t>
      </w:r>
    </w:p>
    <w:p>
      <w:r>
        <w:t xml:space="preserve">API-Schlüssel sind personen- bzw. anwendungsbezogen, vertraulich zu behandeln und dürfen nicht an Dritte weitergegeben werden.</w:t>
      </w:r>
    </w:p>
    <w:p>
      <w:pPr>
        <w:pStyle w:val="Heading1"/>
      </w:pPr>
      <w:r>
        <w:t xml:space="preserve">BIZ-API-02 · Rate-Limits und Fair Use</w:t>
      </w:r>
    </w:p>
    <w:p>
      <w:pPr>
        <w:pStyle w:val="Heading2"/>
      </w:pPr>
      <w:r>
        <w:t xml:space="preserve">BIZ-API-02-01 · Grenzen</w:t>
      </w:r>
    </w:p>
    <w:p>
      <w:r>
        <w:t xml:space="preserve">Die Nutzung unterliegt Rate-Limits und Fair-Use-Regeln, die im Developer-Portal veröffentlicht werden.</w:t>
      </w:r>
    </w:p>
    <w:p>
      <w:pPr>
        <w:pStyle w:val="Heading1"/>
      </w:pPr>
      <w:r>
        <w:t xml:space="preserve">BIZ-API-03 · Deprecation</w:t>
      </w:r>
    </w:p>
    <w:p>
      <w:pPr>
        <w:pStyle w:val="Heading2"/>
      </w:pPr>
      <w:r>
        <w:t xml:space="preserve">BIZ-API-03-01 · Ankündigung</w:t>
      </w:r>
    </w:p>
    <w:p>
      <w:r>
        <w:t xml:space="preserve">Deprecation-Fenster werden mit angemessenem Vorlauf angekündigt; Breaking Changes erfolgen nach Major-Versionswechseln.</w:t>
      </w:r>
    </w:p>
    <w:p>
      <w:r>
        <w:br w:type="page"/>
      </w:r>
    </w:p>
    <w:p>
      <w:pPr>
        <w:pStyle w:val="DocTitle"/>
      </w:pPr>
      <w:r>
        <w:t xml:space="preserve">BIZ-SSO · SSO-Bedingungen (SAML/OIDC)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BIZ-SSO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BIZ-SSO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den Einsatz von Single-Sign-On (BZ-008) für Business-Konten.</w:t>
      </w:r>
    </w:p>
    <w:p>
      <w:pPr>
        <w:pStyle w:val="Heading1"/>
      </w:pPr>
      <w:r>
        <w:t xml:space="preserve">BIZ-SSO-01 · Voraussetzungen</w:t>
      </w:r>
    </w:p>
    <w:p>
      <w:pPr>
        <w:pStyle w:val="Heading2"/>
      </w:pPr>
      <w:r>
        <w:t xml:space="preserve">BIZ-SSO-01-01 · Protokolle</w:t>
      </w:r>
    </w:p>
    <w:p>
      <w:r>
        <w:t xml:space="preserve">Unterstützt werden SAML 2.0 und OpenID Connect. Der Kunde ist für die korrekte Konfiguration seines Identity-Providers verantwortlich.</w:t>
      </w:r>
    </w:p>
    <w:p>
      <w:pPr>
        <w:pStyle w:val="Heading1"/>
      </w:pPr>
      <w:r>
        <w:t xml:space="preserve">BIZ-SSO-02 · Verantwortlichkeiten</w:t>
      </w:r>
    </w:p>
    <w:p>
      <w:pPr>
        <w:pStyle w:val="Heading2"/>
      </w:pPr>
      <w:r>
        <w:t xml:space="preserve">BIZ-SSO-02-01 · Provisioning und Deprovisioning</w:t>
      </w:r>
    </w:p>
    <w:p>
      <w:r>
        <w:t xml:space="preserve">Der Kunde entfernt Zugriffe seiner Nutzer unverzüglich, wenn diese aus dem Unternehmen ausscheiden.</w:t>
      </w:r>
    </w:p>
    <w:p>
      <w:r>
        <w:br w:type="page"/>
      </w:r>
    </w:p>
    <w:p>
      <w:pPr>
        <w:pStyle w:val="DocTitle"/>
      </w:pPr>
      <w:r>
        <w:t xml:space="preserve">BIZ-SLA · Service-Level-Agreement (Business)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BIZ-SLA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BIZ-SLA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BP-07, BP-13</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Dieses SLA (BZ-013) beschreibt Verfügbarkeit, Reaktionszeiten und Servicegutschriften.</w:t>
      </w:r>
    </w:p>
    <w:p>
      <w:pPr>
        <w:pStyle w:val="Heading1"/>
      </w:pPr>
      <w:r>
        <w:t xml:space="preserve">BIZ-SLA-01 · Verfügbarkeit</w:t>
      </w:r>
    </w:p>
    <w:p>
      <w:pPr>
        <w:pStyle w:val="Heading2"/>
      </w:pPr>
      <w:r>
        <w:t xml:space="preserve">BIZ-SLA-01-01 · Zielwerte</w:t>
      </w:r>
    </w:p>
    <w:p>
      <w:r>
        <w:t xml:space="preserve">Zielverfügbarkeit der Plattform: {{99,5 %}} pro Kalendermonat, ausgenommen geplante Wartungsfenster und Ereignisse höherer Gewalt.</w:t>
      </w:r>
    </w:p>
    <w:p>
      <w:pPr>
        <w:pStyle w:val="Heading1"/>
      </w:pPr>
      <w:r>
        <w:t xml:space="preserve">BIZ-SLA-02 · Reaktionszeiten</w:t>
      </w:r>
    </w:p>
    <w:p>
      <w:pPr>
        <w:pStyle w:val="Heading2"/>
      </w:pPr>
      <w:r>
        <w:t xml:space="preserve">BIZ-SLA-02-01 · Prioritätsklassen</w:t>
      </w:r>
    </w:p>
    <w:p>
      <w:r>
        <w:t xml:space="preserve">P1 (Ausfall): Reaktion innerhalb {{1 h}}, Lösung/Workaround binnen {{8 h}}.</w:t>
      </w:r>
    </w:p>
    <w:p>
      <w:r>
        <w:t xml:space="preserve">P2 (schwere Beeinträchtigung): Reaktion binnen {{4 h}}, Lösung binnen {{2 Werktagen}}.</w:t>
      </w:r>
    </w:p>
    <w:p>
      <w:r>
        <w:t xml:space="preserve">P3 (leichte Beeinträchtigung): Reaktion binnen {{1 Werktag}}, Lösung binnen {{10 Werktagen}}.</w:t>
      </w:r>
    </w:p>
    <w:p>
      <w:pPr>
        <w:pStyle w:val="Heading1"/>
      </w:pPr>
      <w:r>
        <w:t xml:space="preserve">BIZ-SLA-03 · Servicegutschriften</w:t>
      </w:r>
    </w:p>
    <w:p>
      <w:pPr>
        <w:pStyle w:val="Heading2"/>
      </w:pPr>
      <w:r>
        <w:t xml:space="preserve">BIZ-SLA-03-01 · Berechnung</w:t>
      </w:r>
    </w:p>
    <w:p>
      <w:r>
        <w:t xml:space="preserve">Bei Unterschreitung der Verfügbarkeitsziele werden Servicegutschriften nach Staffel gutgeschrieben. Ausgeschlossen bei höherer Gewalt.</w:t>
      </w:r>
    </w:p>
    <w:p>
      <w:r>
        <w:br w:type="page"/>
      </w:r>
    </w:p>
    <w:p>
      <w:pPr>
        <w:pStyle w:val="DocTitle"/>
      </w:pPr>
      <w:r>
        <w:t xml:space="preserve">BIZ-DPA · Auftragsverarbeitungs-Vereinbarung (DPA)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BIZ-DPA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BIZ-DPA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BP-15</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DPA gilt, soweit die LeasNet GmbH personenbezogene Daten des Business-Kunden im Auftrag verarbeitet (DA-003), z. B. bei Verwaltung von Nutzerkonten des Kunden im Business-Portal.</w:t>
      </w:r>
    </w:p>
    <w:p>
      <w:pPr>
        <w:pStyle w:val="Heading1"/>
      </w:pPr>
      <w:r>
        <w:t xml:space="preserve">BIZ-DPA-01 · Gegenstand und Weisungen</w:t>
      </w:r>
    </w:p>
    <w:p>
      <w:pPr>
        <w:pStyle w:val="Heading2"/>
      </w:pPr>
      <w:r>
        <w:t xml:space="preserve">BIZ-DPA-01-01 · Weisungsgebundenheit</w:t>
      </w:r>
    </w:p>
    <w:p>
      <w:r>
        <w:t xml:space="preserve">Die LeasNet GmbH verarbeitet personenbezogene Daten ausschließlich auf dokumentierte Weisung des Kunden, es sei denn, sie ist durch Unionsrecht oder Recht der Mitgliedstaaten hierzu verpflichtet.</w:t>
      </w:r>
    </w:p>
    <w:p>
      <w:pPr>
        <w:pStyle w:val="Heading1"/>
      </w:pPr>
      <w:r>
        <w:t xml:space="preserve">BIZ-DPA-02 · Unterauftragsverarbeiter</w:t>
      </w:r>
    </w:p>
    <w:p>
      <w:pPr>
        <w:pStyle w:val="Heading2"/>
      </w:pPr>
      <w:r>
        <w:t xml:space="preserve">BIZ-DPA-02-01 · Subprozessoren</w:t>
      </w:r>
    </w:p>
    <w:p>
      <w:r>
        <w:t xml:space="preserve">Der Kunde stimmt der Einbindung der in der Subprozessorenliste (Anlage) genannten Auftragsverarbeiter zu (DA-004). Änderungen werden angekündigt und Widerspruchsmöglichkeit gegeben.</w:t>
      </w:r>
    </w:p>
    <w:p>
      <w:pPr>
        <w:pStyle w:val="Heading1"/>
      </w:pPr>
      <w:r>
        <w:t xml:space="preserve">BIZ-DPA-03 · Technisch-organisatorische Maßnahmen</w:t>
      </w:r>
    </w:p>
    <w:p>
      <w:pPr>
        <w:pStyle w:val="Heading2"/>
      </w:pPr>
      <w:r>
        <w:t xml:space="preserve">BIZ-DPA-03-01 · TOM</w:t>
      </w:r>
    </w:p>
    <w:p>
      <w:r>
        <w:t xml:space="preserve">Die TOM richten sich nach Art. 32 DSGVO und sind in der Anlage TOM beschrieben.</w:t>
      </w:r>
    </w:p>
    <w:p>
      <w:pPr>
        <w:pStyle w:val="Heading1"/>
      </w:pPr>
      <w:r>
        <w:t xml:space="preserve">BIZ-DPA-04 · Betroffenenrechte und Löschung</w:t>
      </w:r>
    </w:p>
    <w:p>
      <w:pPr>
        <w:pStyle w:val="Heading2"/>
      </w:pPr>
      <w:r>
        <w:t xml:space="preserve">BIZ-DPA-04-01 · Unterstützung</w:t>
      </w:r>
    </w:p>
    <w:p>
      <w:r>
        <w:t xml:space="preserve">Die LeasNet GmbH unterstützt den Kunden bei der Wahrnehmung von Betroffenenrechten und löscht personenbezogene Daten nach Beendigung der Verarbeitung, soweit keine gesetzlichen Aufbewahrungspflichten entgegenstehen.</w:t>
      </w:r>
    </w:p>
    <w:p>
      <w:r>
        <w:br w:type="page"/>
      </w:r>
    </w:p>
    <w:p>
      <w:pPr>
        <w:pStyle w:val="Heading1"/>
      </w:pPr>
      <w:r>
        <w:t xml:space="preserve">Änderungshistorie (Paket)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des Pakets "Business-Paket".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Business-Paket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Business-Paket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2"/>
      <w:szCs w:val="52"/>
    </w:rPr>
  </w:style>
  <w:style w:type="paragraph" w:styleId="Subtitle">
    <w:name w:val="Subtitle"/>
    <w:basedOn w:val="Normal"/>
    <w:next w:val="Normal"/>
    <w:qFormat/>
    <w:pPr>
      <w:spacing w:after="240" w:before="0"/>
    </w:pPr>
    <w:rPr>
      <w:rFonts w:ascii="Arial" w:cs="Arial" w:eastAsia="Arial" w:hAnsi="Arial"/>
      <w:color w:val="555555"/>
      <w:sz w:val="26"/>
      <w:szCs w:val="26"/>
    </w:rPr>
  </w:style>
  <w:style w:type="paragraph" w:styleId="DocTitle">
    <w:name w:val="DocTitle"/>
    <w:basedOn w:val="Normal"/>
    <w:next w:val="Normal"/>
    <w:pPr>
      <w:spacing w:after="200" w:before="480"/>
      <w:outlineLvl w:val="0"/>
    </w:pPr>
    <w:rPr>
      <w:rFonts w:ascii="Arial" w:cs="Arial" w:eastAsia="Arial" w:hAnsi="Arial"/>
      <w:b/>
      <w:bCs/>
      <w:color w:val="1A3E75"/>
      <w:sz w:val="40"/>
      <w:szCs w:val="40"/>
    </w:rPr>
  </w:style>
  <w:style w:type="paragraph" w:styleId="Heading1">
    <w:name w:val="Heading 1"/>
    <w:basedOn w:val="Normal"/>
    <w:next w:val="Normal"/>
    <w:qFormat/>
    <w:pPr>
      <w:spacing w:after="160" w:before="320"/>
      <w:outlineLvl w:val="1"/>
    </w:pPr>
    <w:rPr>
      <w:rFonts w:ascii="Arial" w:cs="Arial" w:eastAsia="Arial" w:hAnsi="Arial"/>
      <w:b/>
      <w:bCs/>
      <w:sz w:val="30"/>
      <w:szCs w:val="30"/>
    </w:rPr>
  </w:style>
  <w:style w:type="paragraph" w:styleId="Heading2">
    <w:name w:val="Heading 2"/>
    <w:basedOn w:val="Normal"/>
    <w:next w:val="Normal"/>
    <w:qFormat/>
    <w:pPr>
      <w:spacing w:after="120" w:before="220"/>
      <w:outlineLvl w:val="2"/>
    </w:pPr>
    <w:rPr>
      <w:rFonts w:ascii="Arial" w:cs="Arial" w:eastAsia="Arial" w:hAnsi="Arial"/>
      <w:b/>
      <w:bCs/>
      <w:sz w:val="24"/>
      <w:szCs w:val="24"/>
    </w:rPr>
  </w:style>
  <w:style w:type="paragraph" w:styleId="Heading3">
    <w:name w:val="Heading 3"/>
    <w:basedOn w:val="Normal"/>
    <w:next w:val="Normal"/>
    <w:qFormat/>
    <w:pPr>
      <w:spacing w:after="80" w:before="180"/>
      <w:outlineLvl w:val="3"/>
    </w:pPr>
    <w:rPr>
      <w:rFonts w:ascii="Arial" w:cs="Arial" w:eastAsia="Arial" w:hAnsi="Arial"/>
      <w:b/>
      <w:bCs/>
      <w:sz w:val="22"/>
      <w:szCs w:val="22"/>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Business-Paket</dc:title>
  <dc:creator>LeasNet GmbH</dc:creator>
  <cp:lastModifiedBy>Un-named</cp:lastModifiedBy>
  <cp:revision>1</cp:revision>
  <dcterms:created xsi:type="dcterms:W3CDTF">2026-07-17T08:41:00.870Z</dcterms:created>
  <dcterms:modified xsi:type="dcterms:W3CDTF">2026-07-17T08:41:00.870Z</dcterms:modified>
</cp:coreProperties>
</file>

<file path=docProps/custom.xml><?xml version="1.0" encoding="utf-8"?>
<Properties xmlns="http://schemas.openxmlformats.org/officeDocument/2006/custom-properties" xmlns:vt="http://schemas.openxmlformats.org/officeDocument/2006/docPropsVTypes"/>
</file>